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/>
      </w:pPr>
      <w:r>
        <w:rPr>
          <w:rFonts w:cs="Times New Roman" w:ascii="Times New Roman" w:hAnsi="Times New Roman"/>
          <w:bCs/>
          <w:szCs w:val="28"/>
        </w:rPr>
        <w:t>Obrazac 18.</w:t>
      </w:r>
    </w:p>
    <w:p>
      <w:pPr>
        <w:pStyle w:val="Normal"/>
        <w:spacing w:lineRule="auto" w:line="240" w:before="0" w:after="23"/>
        <w:jc w:val="both"/>
        <w:rPr>
          <w:color w:val="000000"/>
        </w:rPr>
      </w:pPr>
      <w:r>
        <w:rPr>
          <w:rFonts w:cs="Times New Roman" w:ascii="Times New Roman" w:hAnsi="Times New Roman"/>
          <w:bCs/>
          <w:color w:val="000000"/>
          <w:sz w:val="24"/>
          <w:szCs w:val="24"/>
          <w:u w:val="single"/>
          <w:lang w:val="pl-PL"/>
        </w:rPr>
        <w:t>Nadležni trgovački sud TRGOVAČKI SUD U ZAGREBU, Stalna služba u Karlovcu</w:t>
      </w:r>
    </w:p>
    <w:p>
      <w:pPr>
        <w:pStyle w:val="Normal"/>
        <w:spacing w:lineRule="auto" w:line="240" w:before="0" w:after="23"/>
        <w:jc w:val="both"/>
        <w:rPr>
          <w:color w:val="000000"/>
        </w:rPr>
      </w:pPr>
      <w:r>
        <w:rPr>
          <w:rFonts w:cs="Times New Roman" w:ascii="Times New Roman" w:hAnsi="Times New Roman"/>
          <w:color w:val="000000"/>
          <w:sz w:val="24"/>
          <w:szCs w:val="24"/>
          <w:lang w:val="pl-PL"/>
        </w:rPr>
        <w:t xml:space="preserve">Poslovni broj spisa        </w:t>
      </w:r>
      <w:r>
        <w:rPr>
          <w:rFonts w:cs="Times New Roman" w:ascii="Times New Roman" w:hAnsi="Times New Roman"/>
          <w:bCs/>
          <w:color w:val="000000"/>
          <w:sz w:val="24"/>
          <w:szCs w:val="24"/>
          <w:u w:val="single"/>
          <w:lang w:val="pl-PL"/>
        </w:rPr>
        <w:t>St-</w:t>
      </w:r>
      <w:r>
        <w:rPr>
          <w:rFonts w:eastAsia="NSimSun" w:cs="Times New Roman" w:ascii="Times New Roman" w:hAnsi="Times New Roman"/>
          <w:bCs/>
          <w:color w:val="000000"/>
          <w:kern w:val="2"/>
          <w:sz w:val="24"/>
          <w:szCs w:val="24"/>
          <w:u w:val="single"/>
          <w:lang w:val="pl-PL" w:eastAsia="en-US" w:bidi="hi-IN"/>
        </w:rPr>
        <w:t>1671/2020</w:t>
      </w:r>
    </w:p>
    <w:p>
      <w:pPr>
        <w:pStyle w:val="Normal"/>
        <w:spacing w:lineRule="auto" w:line="240" w:before="0" w:after="23"/>
        <w:rPr>
          <w:rFonts w:ascii="Times New Roman" w:hAnsi="Times New Roman" w:cs="Times New Roman"/>
          <w:color w:val="000000"/>
          <w:sz w:val="24"/>
          <w:szCs w:val="24"/>
          <w:lang w:val="pl-PL"/>
        </w:rPr>
      </w:pPr>
      <w:r>
        <w:rPr>
          <w:rFonts w:cs="Times New Roman" w:ascii="Times New Roman" w:hAnsi="Times New Roman"/>
          <w:color w:val="000000"/>
          <w:sz w:val="24"/>
          <w:szCs w:val="24"/>
          <w:lang w:val="pl-PL"/>
        </w:rPr>
        <w:t xml:space="preserve">Dužnik (ime i prezime / tvrtka ili naziv, OIB, adresa / sjedište) </w:t>
      </w:r>
    </w:p>
    <w:p>
      <w:pPr>
        <w:pStyle w:val="Normal"/>
        <w:spacing w:lineRule="auto" w:line="240" w:before="0" w:after="23"/>
        <w:rPr>
          <w:color w:val="000000"/>
        </w:rPr>
      </w:pPr>
      <w:r>
        <w:rPr>
          <w:rFonts w:cs="Times New Roman" w:ascii="Times New Roman" w:hAnsi="Times New Roman"/>
          <w:bCs/>
          <w:color w:val="000000"/>
          <w:sz w:val="24"/>
          <w:szCs w:val="24"/>
          <w:u w:val="single"/>
          <w:lang w:val="pl-PL"/>
        </w:rPr>
        <w:t xml:space="preserve">Stečajna masa iza </w:t>
      </w:r>
      <w:r>
        <w:rPr>
          <w:rFonts w:eastAsia="NSimSun" w:cs="Times New Roman" w:ascii="Times New Roman" w:hAnsi="Times New Roman"/>
          <w:bCs/>
          <w:color w:val="000000"/>
          <w:kern w:val="2"/>
          <w:sz w:val="24"/>
          <w:szCs w:val="24"/>
          <w:u w:val="single"/>
          <w:lang w:val="pl-PL" w:eastAsia="en-US" w:bidi="hi-IN"/>
        </w:rPr>
        <w:t>ZENIT-U.Z.I.</w:t>
      </w:r>
      <w:r>
        <w:rPr>
          <w:rFonts w:cs="Times New Roman" w:ascii="Times New Roman" w:hAnsi="Times New Roman"/>
          <w:bCs/>
          <w:color w:val="000000"/>
          <w:sz w:val="24"/>
          <w:szCs w:val="24"/>
          <w:u w:val="single"/>
          <w:lang w:val="pl-PL"/>
        </w:rPr>
        <w:t xml:space="preserve"> d.o.o. </w:t>
      </w:r>
    </w:p>
    <w:p>
      <w:pPr>
        <w:pStyle w:val="Normal"/>
        <w:spacing w:lineRule="auto" w:line="240" w:before="0" w:after="23"/>
        <w:rPr>
          <w:color w:val="000000"/>
        </w:rPr>
      </w:pPr>
      <w:r>
        <w:rPr>
          <w:rFonts w:cs="Times New Roman" w:ascii="Times New Roman" w:hAnsi="Times New Roman"/>
          <w:bCs/>
          <w:color w:val="000000"/>
          <w:sz w:val="24"/>
          <w:szCs w:val="24"/>
          <w:u w:val="single"/>
          <w:lang w:val="pl-PL"/>
        </w:rPr>
        <w:t xml:space="preserve">OIB: </w:t>
      </w:r>
      <w:r>
        <w:rPr>
          <w:rFonts w:eastAsia="NSimSun" w:cs="Times New Roman" w:ascii="Times New Roman" w:hAnsi="Times New Roman"/>
          <w:bCs/>
          <w:color w:val="000000"/>
          <w:kern w:val="2"/>
          <w:sz w:val="24"/>
          <w:szCs w:val="24"/>
          <w:u w:val="single"/>
          <w:lang w:val="pl-PL" w:eastAsia="en-US" w:bidi="hi-IN"/>
        </w:rPr>
        <w:t>29276048338</w:t>
      </w:r>
      <w:r>
        <w:rPr>
          <w:rFonts w:cs="Times New Roman" w:ascii="Times New Roman" w:hAnsi="Times New Roman"/>
          <w:bCs/>
          <w:color w:val="000000"/>
          <w:sz w:val="24"/>
          <w:szCs w:val="24"/>
          <w:u w:val="single"/>
          <w:lang w:val="pl-PL"/>
        </w:rPr>
        <w:t>, Zagreb, Bukovačka cesta 51</w:t>
      </w:r>
    </w:p>
    <w:p>
      <w:pPr>
        <w:pStyle w:val="Normal"/>
        <w:widowControl/>
        <w:bidi w:val="0"/>
        <w:spacing w:before="0" w:after="80"/>
        <w:jc w:val="right"/>
        <w:rPr/>
      </w:pPr>
      <w:r>
        <w:rPr>
          <w:rFonts w:cs="Times New Roman" w:ascii="Times New Roman" w:hAnsi="Times New Roman"/>
          <w:bCs/>
          <w:color w:val="000000"/>
          <w:sz w:val="24"/>
          <w:szCs w:val="24"/>
          <w:u w:val="single"/>
          <w:lang w:val="pl-PL"/>
        </w:rPr>
        <w:t xml:space="preserve">Zagreb, </w:t>
      </w:r>
      <w:r>
        <w:rPr>
          <w:rFonts w:eastAsia="NSimSun" w:cs="Times New Roman" w:ascii="Times New Roman" w:hAnsi="Times New Roman"/>
          <w:bCs/>
          <w:color w:val="000000"/>
          <w:kern w:val="2"/>
          <w:sz w:val="24"/>
          <w:szCs w:val="24"/>
          <w:u w:val="single"/>
          <w:lang w:val="pl-PL" w:eastAsia="en-US" w:bidi="hi-IN"/>
        </w:rPr>
        <w:t>27.02.2021.</w:t>
      </w:r>
    </w:p>
    <w:p>
      <w:pPr>
        <w:pStyle w:val="Normal"/>
        <w:spacing w:before="0" w:after="0"/>
        <w:jc w:val="center"/>
        <w:rPr/>
      </w:pPr>
      <w:r>
        <w:rPr>
          <w:rFonts w:cs="Times New Roman" w:ascii="Times New Roman" w:hAnsi="Times New Roman"/>
          <w:bCs/>
          <w:color w:val="000000"/>
          <w:sz w:val="24"/>
          <w:szCs w:val="24"/>
          <w:lang w:val="pl-PL"/>
        </w:rPr>
        <w:t>TABLICA PRIJAVLJENIH TRAŽBINA, RAZLUČNIH I IZLUČNIH PRAVA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val="pl-PL"/>
        </w:rPr>
      </w:pPr>
      <w:r>
        <w:rPr/>
      </w:r>
    </w:p>
    <w:p>
      <w:pPr>
        <w:pStyle w:val="NoSpacing"/>
        <w:numPr>
          <w:ilvl w:val="0"/>
          <w:numId w:val="1"/>
        </w:numPr>
        <w:spacing w:before="0" w:after="0"/>
        <w:jc w:val="center"/>
        <w:rPr>
          <w:color w:val="000000"/>
        </w:rPr>
      </w:pPr>
      <w:r>
        <w:rPr>
          <w:rFonts w:cs="Times New Roman" w:ascii="Times New Roman" w:hAnsi="Times New Roman"/>
          <w:bCs/>
          <w:color w:val="000000"/>
          <w:sz w:val="24"/>
          <w:szCs w:val="24"/>
        </w:rPr>
        <w:t>TABLICA PRIJAVLJENIH TRAŽBINA</w:t>
      </w:r>
    </w:p>
    <w:p>
      <w:pPr>
        <w:pStyle w:val="NoSpacing"/>
        <w:spacing w:before="0" w:after="0"/>
        <w:ind w:left="1080" w:hanging="0"/>
        <w:rPr>
          <w:bCs/>
          <w:color w:val="000000"/>
        </w:rPr>
      </w:pPr>
      <w:r>
        <w:rPr>
          <w:rFonts w:cs="Times New Roman" w:ascii="Times New Roman" w:hAnsi="Times New Roman"/>
          <w:b/>
          <w:bCs/>
          <w:color w:val="000000"/>
          <w:sz w:val="24"/>
          <w:szCs w:val="24"/>
        </w:rPr>
        <w:t>II.Viši isplatni red</w:t>
      </w:r>
    </w:p>
    <w:tbl>
      <w:tblPr>
        <w:tblW w:w="1468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734"/>
        <w:gridCol w:w="1365"/>
        <w:gridCol w:w="1410"/>
        <w:gridCol w:w="1307"/>
        <w:gridCol w:w="1530"/>
        <w:gridCol w:w="1426"/>
        <w:gridCol w:w="1591"/>
        <w:gridCol w:w="1409"/>
        <w:gridCol w:w="1083"/>
        <w:gridCol w:w="1183"/>
        <w:gridCol w:w="1645"/>
      </w:tblGrid>
      <w:tr>
        <w:trPr>
          <w:trHeight w:val="1835" w:hRule="atLeast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Spacing"/>
              <w:spacing w:before="0" w:after="8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R. br. prijav-ljene tražb.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Ime i prezime / tvrtka  ili naziv vjerovnika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OIB vjerovnika 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Adresa / sjedište vjerovnika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Iznos prijavljene tražbine (kn)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Pravna osnova prijavljene tražbine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Iznos priznate tražbine</w:t>
            </w:r>
          </w:p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(kn)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Pravna osnova priznate tražbine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Iznos osporene tražbine</w:t>
            </w:r>
          </w:p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(kn)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Razlog osporavanja tražbine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Oznaka ovršne isprave ako se tražbina zasniva na ovršnoj ispravi</w:t>
            </w:r>
          </w:p>
        </w:tc>
      </w:tr>
      <w:tr>
        <w:trPr>
          <w:trHeight w:val="4405" w:hRule="atLeast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CENTAR BANKA d.d.</w:t>
            </w:r>
          </w:p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u stečaju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 w:eastAsia="NSimSun" w:cs="Times New Roman"/>
                <w:color w:val="000000"/>
                <w:kern w:val="2"/>
                <w:sz w:val="20"/>
                <w:szCs w:val="20"/>
                <w:lang w:val="hr-HR" w:eastAsia="en-US" w:bidi="hi-IN"/>
              </w:rPr>
            </w:pPr>
            <w:r>
              <w:rPr>
                <w:rFonts w:eastAsia="NSimSun" w:cs="Times New Roman" w:ascii="Times New Roman" w:hAnsi="Times New Roman"/>
                <w:color w:val="000000"/>
                <w:kern w:val="2"/>
                <w:sz w:val="20"/>
                <w:szCs w:val="20"/>
                <w:lang w:val="hr-HR" w:eastAsia="en-US" w:bidi="hi-IN"/>
              </w:rPr>
              <w:t>89296739230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 w:eastAsia="NSimSun" w:cs="Times New Roman"/>
                <w:color w:val="000000"/>
                <w:kern w:val="2"/>
                <w:sz w:val="22"/>
                <w:szCs w:val="22"/>
                <w:lang w:val="hr-HR" w:eastAsia="en-US" w:bidi="hi-IN"/>
              </w:rPr>
            </w:pPr>
            <w:r>
              <w:rPr>
                <w:rFonts w:eastAsia="NSimSun" w:cs="Times New Roman" w:ascii="Times New Roman" w:hAnsi="Times New Roman"/>
                <w:color w:val="000000"/>
                <w:kern w:val="2"/>
                <w:sz w:val="22"/>
                <w:szCs w:val="22"/>
                <w:lang w:val="hr-HR" w:eastAsia="en-US" w:bidi="hi-IN"/>
              </w:rPr>
              <w:t>Heinzelova 47A, Zagreb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 w:eastAsia="NSimSun" w:cs="Times New Roman"/>
                <w:color w:val="000000"/>
                <w:kern w:val="2"/>
                <w:sz w:val="22"/>
                <w:szCs w:val="22"/>
                <w:lang w:val="hr-HR" w:eastAsia="en-US" w:bidi="hi-IN"/>
              </w:rPr>
            </w:pPr>
            <w:r>
              <w:rPr>
                <w:rFonts w:eastAsia="NSimSun" w:cs="Times New Roman" w:ascii="Times New Roman" w:hAnsi="Times New Roman"/>
                <w:color w:val="000000"/>
                <w:kern w:val="2"/>
                <w:sz w:val="22"/>
                <w:szCs w:val="22"/>
                <w:lang w:val="hr-HR" w:eastAsia="en-US" w:bidi="hi-IN"/>
              </w:rPr>
              <w:t>12.010.232,84</w:t>
            </w:r>
          </w:p>
          <w:p>
            <w:pPr>
              <w:pStyle w:val="NoSpacing"/>
              <w:spacing w:before="0" w:after="80"/>
              <w:jc w:val="right"/>
              <w:rPr>
                <w:rFonts w:ascii="Times New Roman" w:hAnsi="Times New Roman" w:eastAsia="NSimSun" w:cs="Times New Roman"/>
                <w:color w:val="000000"/>
                <w:kern w:val="2"/>
                <w:sz w:val="22"/>
                <w:szCs w:val="22"/>
                <w:lang w:val="hr-HR" w:eastAsia="en-US" w:bidi="hi-IN"/>
              </w:rPr>
            </w:pPr>
            <w:r>
              <w:rPr>
                <w:rFonts w:eastAsia="NSimSun" w:cs="Times New Roman" w:ascii="Times New Roman" w:hAnsi="Times New Roman"/>
                <w:color w:val="000000"/>
                <w:kern w:val="2"/>
                <w:sz w:val="22"/>
                <w:szCs w:val="22"/>
                <w:lang w:val="hr-HR" w:eastAsia="en-US" w:bidi="hi-IN"/>
              </w:rPr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/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1)Ug.o obavlj. pl.prometa, IOS za iznos od 3.455,10 kn</w:t>
            </w:r>
          </w:p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2)Ug.o kratk. kreditu 569/  2006, IOS  za  3.052.881,21 </w:t>
            </w:r>
          </w:p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3)Ug.o kratk. kreditu 814/ 2006, IOS za 6.465.241,49</w:t>
            </w:r>
          </w:p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4) Ug.o dugor. Kreditu 234/ 2004; IOS za 2.486.780,04</w:t>
            </w:r>
          </w:p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5)Zap.o osig. dok,Računi 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 w:eastAsia="NSimSun" w:cs="Times New Roman"/>
                <w:color w:val="000000"/>
                <w:kern w:val="2"/>
                <w:sz w:val="22"/>
                <w:szCs w:val="22"/>
                <w:lang w:val="hr-HR" w:eastAsia="en-US" w:bidi="hi-IN"/>
              </w:rPr>
            </w:pPr>
            <w:r>
              <w:rPr>
                <w:rFonts w:eastAsia="NSimSun" w:cs="Times New Roman" w:ascii="Times New Roman" w:hAnsi="Times New Roman"/>
                <w:color w:val="000000"/>
                <w:kern w:val="2"/>
                <w:sz w:val="22"/>
                <w:szCs w:val="22"/>
                <w:lang w:val="hr-HR" w:eastAsia="en-US" w:bidi="hi-IN"/>
              </w:rPr>
              <w:t>12.010.232,84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/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1)Ug.o obavlj. pl.prometa, IOS za iznos  3.455,10 kn</w:t>
            </w:r>
          </w:p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2)Ug.o kratk. kreditu 569/  2006, IOS  za  3.052.881,21 </w:t>
            </w:r>
          </w:p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3)Ug.o kratk. kreditu 814/ 2006, IOS za 6.465.241,49</w:t>
            </w:r>
          </w:p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4) Ug.o dugor. Kreditu 234/ 2004; IOS za 2.486.780,04</w:t>
            </w:r>
          </w:p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5)Zap.o osig. dok,Računi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1) Nema</w:t>
            </w:r>
          </w:p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2) i 3) Da-Sporazum o osiguranju novč. tražb. zasniv.zal. prava na nekr. OU-979/06</w:t>
            </w:r>
          </w:p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4) Da-Sporazum o osiguranju novč. tražb. zasniv.zal. prava OU-474/04</w:t>
            </w:r>
          </w:p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5) Nema</w:t>
            </w:r>
          </w:p>
        </w:tc>
      </w:tr>
    </w:tbl>
    <w:tbl>
      <w:tblPr>
        <w:tblpPr w:bottomFromText="0" w:horzAnchor="margin" w:leftFromText="180" w:rightFromText="180" w:tblpX="0" w:tblpY="-231" w:topFromText="0" w:vertAnchor="text"/>
        <w:tblW w:w="14684" w:type="dxa"/>
        <w:jc w:val="left"/>
        <w:tblInd w:w="108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734"/>
        <w:gridCol w:w="1440"/>
        <w:gridCol w:w="1335"/>
        <w:gridCol w:w="1139"/>
        <w:gridCol w:w="2"/>
        <w:gridCol w:w="1410"/>
        <w:gridCol w:w="3"/>
        <w:gridCol w:w="1572"/>
        <w:gridCol w:w="1398"/>
        <w:gridCol w:w="1515"/>
        <w:gridCol w:w="1275"/>
        <w:gridCol w:w="1395"/>
        <w:gridCol w:w="1464"/>
      </w:tblGrid>
      <w:tr>
        <w:trPr>
          <w:trHeight w:val="1020" w:hRule="atLeast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R. br. prijav-ljene tražb.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Ime i prezime / tvrtka  ili naziv vjerovnika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OIB vjerovnika 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Adresa / sjedište vjerovnika</w:t>
            </w:r>
          </w:p>
        </w:tc>
        <w:tc>
          <w:tcPr>
            <w:tcW w:w="1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Iznos prijavljene tražbine (kn)</w:t>
            </w:r>
          </w:p>
        </w:tc>
        <w:tc>
          <w:tcPr>
            <w:tcW w:w="1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Pravna osnova prijavljene tražbine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Iznos priznate tražbine</w:t>
            </w:r>
          </w:p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(kn)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Pravna osnova priznate tražbine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Iznos osporene tražbine</w:t>
            </w:r>
          </w:p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(kn)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Razlog osporavanja tražbine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Oznaka ovršne isprave ako se tražbina zasniva na ovršnoj ispravi</w:t>
            </w:r>
          </w:p>
        </w:tc>
      </w:tr>
      <w:tr>
        <w:trPr>
          <w:trHeight w:val="2100" w:hRule="atLeast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0" w:after="80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Zagrebački holding d.o.o.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85584865987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Zagreb, Ulica grada Vukovara 41</w:t>
            </w:r>
          </w:p>
        </w:tc>
        <w:tc>
          <w:tcPr>
            <w:tcW w:w="141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right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10.239,62</w:t>
            </w:r>
          </w:p>
        </w:tc>
        <w:tc>
          <w:tcPr>
            <w:tcW w:w="157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usl.odvoza otpada: 1) rj.o ovrsi Ovrv-4805/12, Ovrv-8462/13, Ovrv-38966/14, zzk. troškovi</w:t>
            </w:r>
          </w:p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 xml:space="preserve">2) </w:t>
            </w:r>
            <w:r>
              <w:rPr>
                <w:rFonts w:eastAsia="NSimSun" w:cs="Times New Roman" w:ascii="Times New Roman" w:hAnsi="Times New Roman"/>
                <w:color w:val="000000"/>
                <w:kern w:val="2"/>
                <w:sz w:val="22"/>
                <w:szCs w:val="22"/>
                <w:lang w:val="hr-HR" w:eastAsia="en-US" w:bidi="hi-IN"/>
              </w:rPr>
              <w:t>IOS za usluge 01/14-01/16</w:t>
            </w:r>
          </w:p>
        </w:tc>
        <w:tc>
          <w:tcPr>
            <w:tcW w:w="1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right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6.854,97</w:t>
            </w:r>
          </w:p>
          <w:p>
            <w:pPr>
              <w:pStyle w:val="NoSpacing"/>
              <w:spacing w:before="0" w:after="80"/>
              <w:jc w:val="right"/>
              <w:rPr/>
            </w:pPr>
            <w:r>
              <w:rPr/>
            </w:r>
          </w:p>
        </w:tc>
        <w:tc>
          <w:tcPr>
            <w:tcW w:w="15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1) rj.o ovrsi Ovrv-4805/12, Ovrv-8462/13, Ovrv-38966/14, troškovi,  zzk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 w:eastAsia="NSimSun" w:cs="Times New Roman"/>
                <w:color w:val="000000"/>
                <w:kern w:val="2"/>
                <w:sz w:val="22"/>
                <w:szCs w:val="22"/>
                <w:lang w:val="hr-HR" w:eastAsia="en-US" w:bidi="hi-IN"/>
              </w:rPr>
            </w:pPr>
            <w:r>
              <w:rPr>
                <w:rFonts w:eastAsia="NSimSun" w:cs="Times New Roman" w:ascii="Times New Roman" w:hAnsi="Times New Roman"/>
                <w:color w:val="000000"/>
                <w:kern w:val="2"/>
                <w:sz w:val="22"/>
                <w:szCs w:val="22"/>
                <w:lang w:val="hr-HR" w:eastAsia="en-US" w:bidi="hi-IN"/>
              </w:rPr>
              <w:t>3.384,65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2) osporava se tražbina po knjig.izlistu  (</w:t>
            </w:r>
            <w:r>
              <w:rPr>
                <w:rFonts w:eastAsia="NSimSun" w:cs="Times New Roman" w:ascii="Times New Roman" w:hAnsi="Times New Roman"/>
                <w:color w:val="000000"/>
                <w:kern w:val="2"/>
                <w:sz w:val="22"/>
                <w:szCs w:val="22"/>
                <w:lang w:val="hr-HR" w:eastAsia="en-US" w:bidi="hi-IN"/>
              </w:rPr>
              <w:t>IOS) za usluge 01/14-01/16 i zzk zbog zastare. Zat.kte za razdoblje od 18.04.-18.10. 70,74 kn i zbog zastoja kamata zbog posebnih okolnosti</w:t>
            </w: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4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1) Da-za priznati dio tražbine od 6.854,97 kn  rj.o ovrsi Ovrv-4805/12 Ovrv-8462/13 Ovrv-38966/ 14</w:t>
            </w:r>
          </w:p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2) Nema- za  osporeni dio tražbine od 3,384.65 kn</w:t>
            </w:r>
          </w:p>
        </w:tc>
      </w:tr>
      <w:tr>
        <w:trPr>
          <w:trHeight w:val="3060" w:hRule="atLeast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center"/>
              <w:rPr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0" w:after="80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2"/>
                <w:szCs w:val="22"/>
              </w:rPr>
              <w:t>Dragan Grgić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0"/>
                <w:szCs w:val="20"/>
              </w:rPr>
              <w:t>49963343689</w:t>
            </w: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Homogensiedlung 2/8, 7201 Neudörf, Austrija</w:t>
            </w:r>
          </w:p>
        </w:tc>
        <w:tc>
          <w:tcPr>
            <w:tcW w:w="1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right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597.401,72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left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Kupoprodajni ugovor br. 14-5/2011 od 25.11.2011 (Ov-20951/11 od 30.11.2011) potvrda o uplati, zzk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right"/>
              <w:rPr>
                <w:color w:val="C9211E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597.401,72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Vidjeti napomenu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Nema</w:t>
            </w:r>
          </w:p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color w:val="C9211E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color w:val="C9211E"/>
                <w:sz w:val="22"/>
                <w:szCs w:val="22"/>
              </w:rPr>
            </w:r>
          </w:p>
        </w:tc>
      </w:tr>
    </w:tbl>
    <w:p>
      <w:pPr>
        <w:pStyle w:val="Normal"/>
        <w:jc w:val="left"/>
        <w:rPr>
          <w:color w:val="C9211E"/>
        </w:rPr>
      </w:pPr>
      <w:r>
        <w:rPr>
          <w:rFonts w:cs="Times New Roman" w:ascii="Times New Roman" w:hAnsi="Times New Roman"/>
          <w:bCs/>
          <w:color w:val="C9211E"/>
          <w:sz w:val="24"/>
          <w:szCs w:val="24"/>
        </w:rPr>
        <w:t xml:space="preserve">                   </w:t>
      </w:r>
    </w:p>
    <w:p>
      <w:pPr>
        <w:pStyle w:val="Normal"/>
        <w:jc w:val="left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</w:r>
    </w:p>
    <w:p>
      <w:pPr>
        <w:pStyle w:val="Normal"/>
        <w:jc w:val="left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</w:r>
    </w:p>
    <w:tbl>
      <w:tblPr>
        <w:tblpPr w:bottomFromText="0" w:horzAnchor="margin" w:leftFromText="180" w:rightFromText="180" w:tblpX="0" w:tblpY="-231" w:topFromText="0" w:vertAnchor="text"/>
        <w:tblW w:w="14684" w:type="dxa"/>
        <w:jc w:val="left"/>
        <w:tblInd w:w="108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734"/>
        <w:gridCol w:w="1440"/>
        <w:gridCol w:w="1335"/>
        <w:gridCol w:w="1245"/>
        <w:gridCol w:w="1307"/>
        <w:gridCol w:w="1574"/>
        <w:gridCol w:w="1395"/>
        <w:gridCol w:w="1518"/>
        <w:gridCol w:w="1138"/>
        <w:gridCol w:w="1531"/>
        <w:gridCol w:w="1465"/>
      </w:tblGrid>
      <w:tr>
        <w:trPr>
          <w:trHeight w:val="1020" w:hRule="atLeast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color w:val="C9211E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R. br. prijav-ljene tražb.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Ime i prezime / tvrtka  ili naziv vjerovnika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OIB vjerovnika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Adresa / sjedište vjerovnika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Iznos prijavljene tražbine (kn)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Pravna osnova prijavljene tražbine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Iznos priznate tražbine</w:t>
            </w:r>
          </w:p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(kn)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Pravna osnova priznate tražbine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Iznos osporene tražbine</w:t>
            </w:r>
          </w:p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(kn)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Razlog osporavanja tražbine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Oznaka ovršne isprave ako se tražbina zasniva na ovršnoj ispravi</w:t>
            </w:r>
          </w:p>
        </w:tc>
      </w:tr>
      <w:tr>
        <w:trPr>
          <w:trHeight w:val="2100" w:hRule="atLeast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center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 xml:space="preserve">REPUBLIKA HRVATSKA, Ministarstvo financija, Porezna uprava,  Podr.ured </w:t>
            </w:r>
            <w:r>
              <w:rPr>
                <w:rFonts w:eastAsia="NSimSun" w:cs="Times New Roman" w:ascii="Times New Roman" w:hAnsi="Times New Roman"/>
                <w:color w:val="000000"/>
                <w:kern w:val="2"/>
                <w:sz w:val="22"/>
                <w:szCs w:val="22"/>
                <w:lang w:val="hr-HR" w:eastAsia="en-US" w:bidi="hi-IN"/>
              </w:rPr>
              <w:t>Zagreb</w:t>
            </w:r>
          </w:p>
          <w:p>
            <w:pPr>
              <w:pStyle w:val="Normal"/>
              <w:spacing w:before="0" w:after="80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 xml:space="preserve">zastupana po Županijskom državnom odvjetništvu u </w:t>
            </w:r>
            <w:r>
              <w:rPr>
                <w:rFonts w:eastAsia="NSimSun" w:cs="Times New Roman" w:ascii="Times New Roman" w:hAnsi="Times New Roman"/>
                <w:color w:val="000000"/>
                <w:kern w:val="2"/>
                <w:sz w:val="22"/>
                <w:szCs w:val="22"/>
                <w:lang w:val="hr-HR" w:eastAsia="en-US" w:bidi="hi-IN"/>
              </w:rPr>
              <w:t>Karlovcu</w:t>
            </w: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 xml:space="preserve">     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18683136487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 w:eastAsia="NSimSun" w:cs="Times New Roman"/>
                <w:color w:val="000000"/>
                <w:kern w:val="2"/>
                <w:sz w:val="22"/>
                <w:szCs w:val="22"/>
                <w:lang w:val="hr-HR" w:eastAsia="en-US" w:bidi="hi-IN"/>
              </w:rPr>
            </w:pPr>
            <w:r>
              <w:rPr>
                <w:rFonts w:eastAsia="NSimSun" w:cs="Times New Roman" w:ascii="Times New Roman" w:hAnsi="Times New Roman"/>
                <w:color w:val="000000"/>
                <w:kern w:val="2"/>
                <w:sz w:val="22"/>
                <w:szCs w:val="22"/>
                <w:lang w:val="hr-HR" w:eastAsia="en-US" w:bidi="hi-IN"/>
              </w:rPr>
              <w:t>Zagreb, Av. Dubrovnik 32</w:t>
            </w:r>
          </w:p>
        </w:tc>
        <w:tc>
          <w:tcPr>
            <w:tcW w:w="13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 w:eastAsia="NSimSun" w:cs="Times New Roman"/>
                <w:color w:val="000000"/>
                <w:kern w:val="2"/>
                <w:sz w:val="22"/>
                <w:szCs w:val="22"/>
                <w:lang w:val="hr-HR" w:eastAsia="en-US" w:bidi="hi-IN"/>
              </w:rPr>
            </w:pPr>
            <w:r>
              <w:rPr>
                <w:rFonts w:eastAsia="NSimSun" w:cs="Times New Roman" w:ascii="Times New Roman" w:hAnsi="Times New Roman"/>
                <w:color w:val="000000"/>
                <w:kern w:val="2"/>
                <w:sz w:val="22"/>
                <w:szCs w:val="22"/>
                <w:lang w:val="hr-HR" w:eastAsia="en-US" w:bidi="hi-IN"/>
              </w:rPr>
              <w:t>230.490,08</w:t>
            </w:r>
          </w:p>
        </w:tc>
        <w:tc>
          <w:tcPr>
            <w:tcW w:w="15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Porezi i dr. javna davanja (PDV, PD, Porez na tvrtku, PPN, Članarina i doprinos HGK i dopr.ZO, zapošlj, troškovi prisilne naplate), zzk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eastAsia="NSimSun" w:cs="Times New Roman" w:ascii="Times New Roman" w:hAnsi="Times New Roman"/>
                <w:color w:val="000000"/>
                <w:kern w:val="2"/>
                <w:sz w:val="22"/>
                <w:szCs w:val="22"/>
                <w:lang w:val="hr-HR" w:eastAsia="en-US" w:bidi="hi-IN"/>
              </w:rPr>
              <w:t>230.490,08</w:t>
            </w:r>
          </w:p>
        </w:tc>
        <w:tc>
          <w:tcPr>
            <w:tcW w:w="15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Porezi i dr. javna davanja (PDV, PD, Porez na tvrtku, PPN, Članarina i doprinos HGK i dopr.ZO, zapošlj, troškovi prisilne naplate), zzk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right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strike w:val="false"/>
                <w:dstrike w:val="false"/>
                <w:color w:val="000000"/>
              </w:rPr>
            </w:pPr>
            <w:r>
              <w:rPr>
                <w:rFonts w:cs="Times New Roman" w:ascii="Times New Roman" w:hAnsi="Times New Roman"/>
                <w:strike w:val="false"/>
                <w:dstrike w:val="false"/>
                <w:color w:val="000000"/>
                <w:sz w:val="22"/>
                <w:szCs w:val="22"/>
              </w:rPr>
              <w:t xml:space="preserve">Da- </w:t>
            </w:r>
          </w:p>
          <w:p>
            <w:pPr>
              <w:pStyle w:val="NoSpacing"/>
              <w:spacing w:before="0" w:after="80"/>
              <w:jc w:val="both"/>
              <w:rPr>
                <w:strike w:val="false"/>
                <w:dstrike w:val="false"/>
                <w:color w:val="000000"/>
              </w:rPr>
            </w:pPr>
            <w:r>
              <w:rPr>
                <w:rFonts w:cs="Times New Roman" w:ascii="Times New Roman" w:hAnsi="Times New Roman"/>
                <w:strike w:val="false"/>
                <w:dstrike w:val="false"/>
                <w:color w:val="000000"/>
                <w:sz w:val="22"/>
                <w:szCs w:val="22"/>
              </w:rPr>
              <w:t>PDV-K 2009, ID obrasci, PD obrazac,PPN, IPP, por.rješenje od 25.01.2011</w:t>
            </w:r>
          </w:p>
          <w:p>
            <w:pPr>
              <w:pStyle w:val="NoSpacing"/>
              <w:spacing w:before="0" w:after="80"/>
              <w:jc w:val="both"/>
              <w:rPr>
                <w:strike w:val="false"/>
                <w:dstrike w:val="false"/>
                <w:color w:val="000000"/>
              </w:rPr>
            </w:pPr>
            <w:r>
              <w:rPr>
                <w:rFonts w:cs="Times New Roman" w:ascii="Times New Roman" w:hAnsi="Times New Roman"/>
                <w:strike w:val="false"/>
                <w:dstrike w:val="false"/>
                <w:color w:val="000000"/>
                <w:sz w:val="22"/>
                <w:szCs w:val="22"/>
              </w:rPr>
              <w:t>za iznos od 230.490,08 kn</w:t>
            </w:r>
          </w:p>
        </w:tc>
      </w:tr>
      <w:tr>
        <w:trPr>
          <w:trHeight w:val="3060" w:hRule="atLeast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center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0" w:after="80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2"/>
                <w:szCs w:val="22"/>
              </w:rPr>
              <w:t>STAMBENI ZG d.o.o.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0"/>
                <w:szCs w:val="20"/>
              </w:rPr>
              <w:t>43118119983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Zagreb, Savska 183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right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40.676,27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Fin.kartice,  obračun kamata, Rj.o ovrsi Ovrv-3565/13, Ovrj-4224/14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 w:eastAsia="NSimSun" w:cs="Times New Roman"/>
                <w:color w:val="000000"/>
                <w:kern w:val="2"/>
                <w:sz w:val="22"/>
                <w:szCs w:val="22"/>
                <w:lang w:val="hr-HR" w:eastAsia="en-US" w:bidi="hi-IN"/>
              </w:rPr>
            </w:pPr>
            <w:r>
              <w:rPr>
                <w:rFonts w:eastAsia="NSimSun" w:cs="Times New Roman" w:ascii="Times New Roman" w:hAnsi="Times New Roman"/>
                <w:color w:val="000000"/>
                <w:kern w:val="2"/>
                <w:sz w:val="22"/>
                <w:szCs w:val="22"/>
                <w:lang w:val="hr-HR" w:eastAsia="en-US" w:bidi="hi-IN"/>
              </w:rPr>
              <w:t>0,00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center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 w:eastAsia="NSimSun" w:cs="Times New Roman"/>
                <w:color w:val="000000"/>
                <w:kern w:val="2"/>
                <w:sz w:val="22"/>
                <w:szCs w:val="22"/>
                <w:lang w:val="hr-HR" w:eastAsia="en-US" w:bidi="hi-IN"/>
              </w:rPr>
            </w:pPr>
            <w:r>
              <w:rPr>
                <w:rFonts w:eastAsia="NSimSun" w:cs="Times New Roman" w:ascii="Times New Roman" w:hAnsi="Times New Roman"/>
                <w:color w:val="000000"/>
                <w:kern w:val="2"/>
                <w:sz w:val="22"/>
                <w:szCs w:val="22"/>
                <w:lang w:val="hr-HR" w:eastAsia="en-US" w:bidi="hi-IN"/>
              </w:rPr>
              <w:t>40.676,27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-Prijavitelj nije vjerovnik tražbine</w:t>
            </w:r>
          </w:p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Podredno:</w:t>
            </w:r>
          </w:p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-Dužnik ne koristi stan nego ga posjeduje i koristi Dragan Grgić kojem je stan predan 08.10.2011 i, koji je dužan snositi sve troškove te je naveden na popisu  </w:t>
            </w:r>
          </w:p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-Zastara</w:t>
            </w:r>
          </w:p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-Netočan obračun kamata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Nema</w:t>
            </w:r>
          </w:p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Spacing"/>
              <w:spacing w:before="0" w:after="80"/>
              <w:jc w:val="both"/>
              <w:rPr/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 xml:space="preserve">Vjerovnik navodi da ima ovršnu ispravu za dio tražbine od 4.329,03 kn i to Rj.o ovrsi Ovrv-3565/13 </w:t>
            </w:r>
            <w:r>
              <w:rPr>
                <w:rFonts w:eastAsia="NSimSun" w:cs="Times New Roman" w:ascii="Times New Roman" w:hAnsi="Times New Roman"/>
                <w:color w:val="000000"/>
                <w:kern w:val="2"/>
                <w:sz w:val="22"/>
                <w:szCs w:val="22"/>
                <w:lang w:val="hr-HR" w:eastAsia="en-US" w:bidi="hi-IN"/>
              </w:rPr>
              <w:t>ali on nije vjerovnik tražbine iz te ovršne isprave</w:t>
            </w:r>
          </w:p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</w:tbl>
    <w:p>
      <w:pPr>
        <w:pStyle w:val="Normal"/>
        <w:jc w:val="left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</w:r>
    </w:p>
    <w:tbl>
      <w:tblPr>
        <w:tblpPr w:bottomFromText="0" w:horzAnchor="margin" w:leftFromText="180" w:rightFromText="180" w:tblpX="0" w:tblpY="-231" w:topFromText="0" w:vertAnchor="text"/>
        <w:tblW w:w="14684" w:type="dxa"/>
        <w:jc w:val="left"/>
        <w:tblInd w:w="108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734"/>
        <w:gridCol w:w="1440"/>
        <w:gridCol w:w="1335"/>
        <w:gridCol w:w="1245"/>
        <w:gridCol w:w="1304"/>
        <w:gridCol w:w="1577"/>
        <w:gridCol w:w="1395"/>
        <w:gridCol w:w="1518"/>
        <w:gridCol w:w="1274"/>
        <w:gridCol w:w="1395"/>
        <w:gridCol w:w="1465"/>
      </w:tblGrid>
      <w:tr>
        <w:trPr>
          <w:trHeight w:val="1020" w:hRule="atLeast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R. br. prijav-ljene tražb.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Ime i prezime / tvrtka  ili naziv vjerovnika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OIB vjerovnika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Adresa / sjedište vjerovnika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Iznos prijavljene tražbine (kn)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Pravna osnova prijavljene tražbine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Iznos priznate tražbine</w:t>
            </w:r>
          </w:p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(kn)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Pravna osnova priznate tražbine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Iznos osporene tražbine</w:t>
            </w:r>
          </w:p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(kn)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Razlog osporavanja tražbine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Oznaka ovršne isprave ako se tražbina zasniva na ovršnoj ispravi</w:t>
            </w:r>
          </w:p>
        </w:tc>
      </w:tr>
      <w:tr>
        <w:trPr>
          <w:trHeight w:val="2100" w:hRule="atLeast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center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0" w:after="80"/>
              <w:rPr>
                <w:color w:val="000000"/>
              </w:rPr>
            </w:pPr>
            <w:r>
              <w:rPr>
                <w:rFonts w:eastAsia="NSimSun" w:cs="Times New Roman" w:ascii="Times New Roman" w:hAnsi="Times New Roman"/>
                <w:color w:val="000000" w:themeColor="text1"/>
                <w:kern w:val="2"/>
                <w:sz w:val="22"/>
                <w:szCs w:val="22"/>
                <w:lang w:val="hr-HR" w:eastAsia="en-US" w:bidi="hi-IN"/>
              </w:rPr>
              <w:t>Đurđica Cencelj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0"/>
                <w:szCs w:val="20"/>
              </w:rPr>
              <w:t>35225194061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 w:eastAsia="NSimSun" w:cs="Times New Roman"/>
                <w:color w:val="000000"/>
                <w:kern w:val="2"/>
                <w:sz w:val="22"/>
                <w:szCs w:val="22"/>
                <w:lang w:val="hr-HR" w:eastAsia="en-US" w:bidi="hi-IN"/>
              </w:rPr>
            </w:pPr>
            <w:r>
              <w:rPr>
                <w:rFonts w:eastAsia="NSimSun" w:cs="Times New Roman" w:ascii="Times New Roman" w:hAnsi="Times New Roman"/>
                <w:color w:val="000000"/>
                <w:kern w:val="2"/>
                <w:sz w:val="22"/>
                <w:szCs w:val="22"/>
                <w:lang w:val="hr-HR" w:eastAsia="en-US" w:bidi="hi-IN"/>
              </w:rPr>
              <w:t>Trpanjska 4, Zagreb</w:t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 w:eastAsia="NSimSun" w:cs="Times New Roman"/>
                <w:color w:val="000000"/>
                <w:kern w:val="2"/>
                <w:sz w:val="22"/>
                <w:szCs w:val="22"/>
                <w:lang w:val="hr-HR" w:eastAsia="en-US" w:bidi="hi-IN"/>
              </w:rPr>
            </w:pPr>
            <w:r>
              <w:rPr>
                <w:rFonts w:eastAsia="NSimSun" w:cs="Times New Roman" w:ascii="Times New Roman" w:hAnsi="Times New Roman"/>
                <w:color w:val="000000"/>
                <w:kern w:val="2"/>
                <w:sz w:val="22"/>
                <w:szCs w:val="22"/>
                <w:lang w:val="hr-HR" w:eastAsia="en-US" w:bidi="hi-IN"/>
              </w:rPr>
              <w:t>402.000,00</w:t>
            </w:r>
          </w:p>
        </w:tc>
        <w:tc>
          <w:tcPr>
            <w:tcW w:w="15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left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 xml:space="preserve">Spis Općinskog suda u Novom Zagrebu posl.br. P-3219/15 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right"/>
              <w:rPr>
                <w:color w:val="C9211E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 w:eastAsia="NSimSun" w:cs="Times New Roman"/>
                <w:color w:val="000000"/>
                <w:kern w:val="2"/>
                <w:sz w:val="22"/>
                <w:szCs w:val="22"/>
                <w:lang w:val="hr-HR" w:eastAsia="en-US" w:bidi="hi-IN"/>
              </w:rPr>
            </w:pPr>
            <w:r>
              <w:rPr>
                <w:rFonts w:eastAsia="NSimSun" w:cs="Times New Roman" w:ascii="Times New Roman" w:hAnsi="Times New Roman"/>
                <w:color w:val="000000"/>
                <w:kern w:val="2"/>
                <w:sz w:val="22"/>
                <w:szCs w:val="22"/>
                <w:lang w:val="hr-HR" w:eastAsia="en-US" w:bidi="hi-IN"/>
              </w:rPr>
              <w:t>402.000,00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 xml:space="preserve">Tražbina vjerovnika ne postoji prema steč.dužniku.  </w:t>
            </w:r>
          </w:p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Napomena: Vjerovnik je pokrenuo parnicu OS NZ posl.br. P-3219/15 – prekid postupka u odnosu na dužnika rješ. od 30.3.17.</w:t>
            </w:r>
          </w:p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Imovinsko pravni zahtjev u kazn.post. KO-237/2014-kazn.post. je obustavljen u odnosu na dužnika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strike w:val="false"/>
                <w:dstrike w:val="false"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strike w:val="false"/>
                <w:dstrike w:val="false"/>
                <w:color w:val="000000"/>
                <w:sz w:val="22"/>
                <w:szCs w:val="22"/>
              </w:rPr>
              <w:t>Nema</w:t>
            </w:r>
          </w:p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</w:r>
          </w:p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strike w:val="false"/>
                <w:dstrike w:val="false"/>
                <w:color w:val="000000"/>
                <w:sz w:val="22"/>
                <w:szCs w:val="22"/>
              </w:rPr>
              <w:t>Vjerovnik je  pogrešno u prijavi naveo da ima ov</w:t>
            </w:r>
            <w:r>
              <w:rPr>
                <w:rFonts w:cs="Times New Roman" w:ascii="Times New Roman" w:hAnsi="Times New Roman"/>
                <w:strike w:val="false"/>
                <w:dstrike w:val="false"/>
                <w:color w:val="000000"/>
                <w:sz w:val="22"/>
                <w:szCs w:val="22"/>
              </w:rPr>
              <w:t>r</w:t>
            </w:r>
            <w:r>
              <w:rPr>
                <w:rFonts w:cs="Times New Roman" w:ascii="Times New Roman" w:hAnsi="Times New Roman"/>
                <w:strike w:val="false"/>
                <w:dstrike w:val="false"/>
                <w:color w:val="000000"/>
                <w:sz w:val="22"/>
                <w:szCs w:val="22"/>
              </w:rPr>
              <w:t>šnu ispravu- Rješenje OGS ZG P-3219/15 za iznos od 402.000,00 kn bez navođenja datuma rješenja.</w:t>
            </w:r>
          </w:p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strike w:val="false"/>
                <w:dstrike w:val="false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trike w:val="false"/>
                <w:dstrike w:val="false"/>
                <w:sz w:val="22"/>
                <w:szCs w:val="22"/>
              </w:rPr>
            </w:r>
          </w:p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strike w:val="false"/>
                <w:dstrike w:val="false"/>
                <w:color w:val="000000"/>
                <w:sz w:val="22"/>
                <w:szCs w:val="22"/>
              </w:rPr>
              <w:t xml:space="preserve">(priloženo je rješenje o </w:t>
            </w:r>
          </w:p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strike w:val="false"/>
                <w:dstrike w:val="false"/>
                <w:color w:val="000000"/>
                <w:sz w:val="22"/>
                <w:szCs w:val="22"/>
              </w:rPr>
              <w:t>prekidu postupka od 30.03.17. u odnosu na dužnika kao IV-tuženika</w:t>
            </w:r>
          </w:p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</w:r>
          </w:p>
        </w:tc>
      </w:tr>
    </w:tbl>
    <w:p>
      <w:pPr>
        <w:pStyle w:val="Normal"/>
        <w:jc w:val="left"/>
        <w:rPr/>
      </w:pPr>
      <w:r>
        <w:rPr>
          <w:rFonts w:cs="Times New Roman" w:ascii="Times New Roman" w:hAnsi="Times New Roman"/>
          <w:bCs/>
          <w:color w:val="C9211E"/>
          <w:sz w:val="24"/>
          <w:szCs w:val="24"/>
        </w:rPr>
        <w:t xml:space="preserve">                             </w:t>
      </w:r>
    </w:p>
    <w:p>
      <w:pPr>
        <w:pStyle w:val="Normal"/>
        <w:widowControl/>
        <w:bidi w:val="0"/>
        <w:spacing w:before="0" w:after="80"/>
        <w:jc w:val="right"/>
        <w:rPr>
          <w:color w:val="C9211E"/>
          <w:u w:val="single"/>
        </w:rPr>
      </w:pPr>
      <w:r>
        <w:rPr>
          <w:color w:val="C9211E"/>
          <w:u w:val="single"/>
        </w:rPr>
      </w:r>
    </w:p>
    <w:p>
      <w:pPr>
        <w:pStyle w:val="Normal"/>
        <w:widowControl/>
        <w:bidi w:val="0"/>
        <w:spacing w:before="0" w:after="80"/>
        <w:jc w:val="right"/>
        <w:rPr>
          <w:color w:val="C9211E"/>
          <w:u w:val="single"/>
        </w:rPr>
      </w:pPr>
      <w:r>
        <w:rPr>
          <w:color w:val="C9211E"/>
          <w:u w:val="single"/>
        </w:rPr>
      </w:r>
    </w:p>
    <w:p>
      <w:pPr>
        <w:pStyle w:val="Normal"/>
        <w:jc w:val="left"/>
        <w:rPr>
          <w:rFonts w:ascii="Times New Roman" w:hAnsi="Times New Roman" w:cs="Times New Roman"/>
          <w:bCs/>
          <w:color w:val="000000"/>
          <w:sz w:val="22"/>
          <w:szCs w:val="22"/>
        </w:rPr>
      </w:pPr>
      <w:r>
        <w:rPr>
          <w:rFonts w:cs="Times New Roman" w:ascii="Times New Roman" w:hAnsi="Times New Roman"/>
          <w:bCs/>
          <w:color w:val="000000"/>
          <w:sz w:val="22"/>
          <w:szCs w:val="22"/>
        </w:rPr>
        <w:t xml:space="preserve">Napomena – prijavljena tražbine r.br. 3 </w:t>
      </w:r>
    </w:p>
    <w:p>
      <w:pPr>
        <w:pStyle w:val="Normal"/>
        <w:jc w:val="left"/>
        <w:rPr>
          <w:rFonts w:ascii="Times New Roman" w:hAnsi="Times New Roman" w:cs="Times New Roman"/>
          <w:bCs/>
          <w:color w:val="000000"/>
          <w:sz w:val="22"/>
          <w:szCs w:val="22"/>
        </w:rPr>
      </w:pPr>
      <w:r>
        <w:rPr>
          <w:rFonts w:cs="Times New Roman" w:ascii="Times New Roman" w:hAnsi="Times New Roman"/>
          <w:bCs/>
          <w:color w:val="000000"/>
          <w:sz w:val="22"/>
          <w:szCs w:val="22"/>
        </w:rPr>
        <w:t xml:space="preserve">Dragan Grgić prijavio je tražbinu kao stečajni vjerovnik ukoliko se ne izvrši izdvanje predmeta izlučnog prava ( 3. suvl. dio 1796/10000 nekretnine kčbr. 1480/6 Stamb.zgrada Anina 16 et.vlasništvo (E-3) stan u prizemlju površ. 66,48 m3 oznake S3, sa park.mjestom P 3 i vrtom V3) za koje je podnio obavijest o izlučnom pravu na temelju Kupoprodajnog ugovora. </w:t>
      </w:r>
    </w:p>
    <w:p>
      <w:pPr>
        <w:pStyle w:val="Normal"/>
        <w:jc w:val="left"/>
        <w:rPr>
          <w:rFonts w:ascii="Times New Roman" w:hAnsi="Times New Roman" w:cs="Times New Roman"/>
          <w:bCs/>
          <w:color w:val="000000"/>
          <w:sz w:val="22"/>
          <w:szCs w:val="22"/>
        </w:rPr>
      </w:pPr>
      <w:r>
        <w:rPr>
          <w:rFonts w:cs="Times New Roman" w:ascii="Times New Roman" w:hAnsi="Times New Roman"/>
          <w:bCs/>
          <w:color w:val="000000"/>
          <w:sz w:val="22"/>
          <w:szCs w:val="22"/>
        </w:rPr>
        <w:t>Stečajna upraviteljica smatra da izlučno pravo navedenog vjerovnika ne postoji.</w:t>
      </w:r>
    </w:p>
    <w:p>
      <w:pPr>
        <w:pStyle w:val="Normal"/>
        <w:jc w:val="left"/>
        <w:rPr>
          <w:rFonts w:ascii="Times New Roman" w:hAnsi="Times New Roman" w:cs="Times New Roman"/>
          <w:bCs/>
          <w:color w:val="000000"/>
          <w:sz w:val="22"/>
          <w:szCs w:val="22"/>
        </w:rPr>
      </w:pPr>
      <w:r>
        <w:rPr>
          <w:rFonts w:cs="Times New Roman" w:ascii="Times New Roman" w:hAnsi="Times New Roman"/>
          <w:bCs/>
          <w:color w:val="000000"/>
          <w:sz w:val="22"/>
          <w:szCs w:val="22"/>
        </w:rPr>
        <w:t>Iz z.k izvatka za predmetni stan (z.k. ul. 6270 k.o. Vrapče, podul. 3)  proizlazi  da je u njegovu korist upisana predbilježba prava vlasništva (broj Z-7858/12 zaprimljeno 09.02.2012.).</w:t>
      </w:r>
    </w:p>
    <w:p>
      <w:pPr>
        <w:pStyle w:val="Normal"/>
        <w:jc w:val="left"/>
        <w:rPr/>
      </w:pPr>
      <w:r>
        <w:rPr>
          <w:rFonts w:cs="Times New Roman" w:ascii="Times New Roman" w:hAnsi="Times New Roman"/>
          <w:bCs/>
          <w:color w:val="000000"/>
          <w:sz w:val="22"/>
          <w:szCs w:val="22"/>
        </w:rPr>
        <w:t xml:space="preserve">Sukladno čl.  184 st. 1 Stečajnog zakona, ako je u z.k. upisana predbilježba radi osiguranja zahtjeva za stjecanje nekog prava na </w:t>
      </w:r>
      <w:r>
        <w:rPr>
          <w:rFonts w:eastAsia="NSimSun" w:cs="Times New Roman" w:ascii="Times New Roman" w:hAnsi="Times New Roman"/>
          <w:bCs/>
          <w:color w:val="000000"/>
          <w:kern w:val="2"/>
          <w:sz w:val="22"/>
          <w:szCs w:val="22"/>
          <w:lang w:val="hr-HR" w:eastAsia="en-US" w:bidi="hi-IN"/>
        </w:rPr>
        <w:t>dužnikovoj</w:t>
      </w:r>
      <w:r>
        <w:rPr>
          <w:rFonts w:cs="Times New Roman" w:ascii="Times New Roman" w:hAnsi="Times New Roman"/>
          <w:bCs/>
          <w:color w:val="000000"/>
          <w:sz w:val="22"/>
          <w:szCs w:val="22"/>
        </w:rPr>
        <w:t xml:space="preserve"> nekretnini, vjerovnik svoju tražbinu može namiriti kao vjerovnik stečajne mase.</w:t>
      </w:r>
    </w:p>
    <w:p>
      <w:pPr>
        <w:pStyle w:val="Normal"/>
        <w:jc w:val="left"/>
        <w:rPr/>
      </w:pPr>
      <w:r>
        <w:rPr>
          <w:rFonts w:cs="Times New Roman" w:ascii="Times New Roman" w:hAnsi="Times New Roman"/>
          <w:bCs/>
          <w:color w:val="000000"/>
          <w:sz w:val="22"/>
          <w:szCs w:val="22"/>
        </w:rPr>
        <w:t>Vjerovnici stečajne mase ne prijavljuju tražbine.</w:t>
      </w:r>
    </w:p>
    <w:p>
      <w:pPr>
        <w:pStyle w:val="Normal"/>
        <w:jc w:val="left"/>
        <w:rPr/>
      </w:pPr>
      <w:r>
        <w:rPr>
          <w:rFonts w:cs="Times New Roman" w:ascii="Times New Roman" w:hAnsi="Times New Roman"/>
          <w:bCs/>
          <w:color w:val="000000"/>
          <w:sz w:val="22"/>
          <w:szCs w:val="22"/>
        </w:rPr>
        <w:t>Ukoliko sud smatra da su ispunjeni uvjeti za primjenu čl. 184 st. 1 SZ, predlaže se odbaciti prijavu tražbine.</w:t>
      </w:r>
    </w:p>
    <w:p>
      <w:pPr>
        <w:pStyle w:val="Normal"/>
        <w:jc w:val="left"/>
        <w:rPr/>
      </w:pPr>
      <w:r>
        <w:rPr>
          <w:rFonts w:cs="Times New Roman" w:ascii="Times New Roman" w:hAnsi="Times New Roman"/>
          <w:bCs/>
          <w:color w:val="000000"/>
          <w:sz w:val="22"/>
          <w:szCs w:val="22"/>
        </w:rPr>
        <w:t xml:space="preserve">Ukoliko sud smatra da nisu ispunjeni uvjeti za odbacivanje prijave tražbine temeljem čl. 184 st. 1 SZ, stečajna upraviteljica osporava prijavljenu tražbinu u cijelosti, iz razloga jer vjerovnik nekretninu posjeduje i koristi (iako za to nisu ispunjeni ugovoreni uvjeti), dakle ostvario je i ostvaruje korist od korištenja navedenog stana u </w:t>
      </w:r>
      <w:r>
        <w:rPr>
          <w:rFonts w:eastAsia="NSimSun" w:cs="Times New Roman" w:ascii="Times New Roman" w:hAnsi="Times New Roman"/>
          <w:bCs/>
          <w:color w:val="000000"/>
          <w:kern w:val="2"/>
          <w:sz w:val="22"/>
          <w:szCs w:val="22"/>
          <w:lang w:val="hr-HR" w:eastAsia="en-US" w:bidi="hi-IN"/>
        </w:rPr>
        <w:t>visini</w:t>
      </w:r>
      <w:r>
        <w:rPr>
          <w:rFonts w:cs="Times New Roman" w:ascii="Times New Roman" w:hAnsi="Times New Roman"/>
          <w:bCs/>
          <w:color w:val="000000"/>
          <w:sz w:val="22"/>
          <w:szCs w:val="22"/>
        </w:rPr>
        <w:t xml:space="preserve"> stvarno ostvarene ili prosječne (tržišne vrijednosti) najamnine za predmetni stan, za svaki mjesec korištenja od 08.10.2011. godine nadalje. Stoga i u slučaju da postoji (je postojala) tražbina navedenog vjerovnika po prijavljenoj osnovi, on je s druge strane dužan platiti naknadu dužniku za koristi koje je imao od korištenja tog stana, dakle tražbina vjerovnika </w:t>
      </w:r>
      <w:r>
        <w:rPr>
          <w:rFonts w:eastAsia="NSimSun" w:cs="Times New Roman" w:ascii="Times New Roman" w:hAnsi="Times New Roman"/>
          <w:bCs/>
          <w:color w:val="000000"/>
          <w:kern w:val="2"/>
          <w:sz w:val="22"/>
          <w:szCs w:val="22"/>
          <w:lang w:val="hr-HR" w:eastAsia="en-US" w:bidi="hi-IN"/>
        </w:rPr>
        <w:t xml:space="preserve">se </w:t>
      </w:r>
      <w:r>
        <w:rPr>
          <w:rFonts w:eastAsia="NSimSun" w:cs="Times New Roman" w:ascii="Times New Roman" w:hAnsi="Times New Roman"/>
          <w:bCs/>
          <w:color w:val="000000"/>
          <w:kern w:val="2"/>
          <w:sz w:val="22"/>
          <w:szCs w:val="22"/>
          <w:lang w:val="hr-HR" w:eastAsia="en-US" w:bidi="hi-IN"/>
        </w:rPr>
        <w:t xml:space="preserve">umanjuje odnosno </w:t>
      </w:r>
      <w:r>
        <w:rPr>
          <w:rFonts w:eastAsia="NSimSun" w:cs="Times New Roman" w:ascii="Times New Roman" w:hAnsi="Times New Roman"/>
          <w:bCs/>
          <w:color w:val="000000"/>
          <w:kern w:val="2"/>
          <w:sz w:val="22"/>
          <w:szCs w:val="22"/>
          <w:lang w:val="hr-HR" w:eastAsia="en-US" w:bidi="hi-IN"/>
        </w:rPr>
        <w:t xml:space="preserve">prebija </w:t>
      </w:r>
      <w:r>
        <w:rPr>
          <w:rFonts w:cs="Times New Roman" w:ascii="Times New Roman" w:hAnsi="Times New Roman"/>
          <w:bCs/>
          <w:color w:val="000000"/>
          <w:sz w:val="22"/>
          <w:szCs w:val="22"/>
        </w:rPr>
        <w:t xml:space="preserve">sa protutražbinom dužnika po osnovi vjerovnikova korištenja navedenog stana (stjecanja koristi bez osnove). </w:t>
      </w:r>
    </w:p>
    <w:p>
      <w:pPr>
        <w:pStyle w:val="Normal"/>
        <w:jc w:val="left"/>
        <w:rPr/>
      </w:pPr>
      <w:r>
        <w:rPr>
          <w:rFonts w:cs="Times New Roman" w:ascii="Times New Roman" w:hAnsi="Times New Roman"/>
          <w:bCs/>
          <w:color w:val="000000"/>
          <w:sz w:val="22"/>
          <w:szCs w:val="22"/>
        </w:rPr>
        <w:t>Vjerovnik je ishodio i presudu OGS Zg posl.br. P-4175/12 od 11.04.2014. kojim se nalaže ranijem direktoru brisanog društva ZENIT-UZI doo Ivanu Zečiću kao tuženiku da vjerovniku isplati iznos od 44.000,00 EUR (u kn) uvećano za zzk od 25.11.2011.god. do isplate.</w:t>
      </w:r>
    </w:p>
    <w:p>
      <w:pPr>
        <w:pStyle w:val="Normal"/>
        <w:jc w:val="left"/>
        <w:rPr/>
      </w:pPr>
      <w:r>
        <w:rPr>
          <w:rFonts w:cs="Times New Roman" w:ascii="Times New Roman" w:hAnsi="Times New Roman"/>
          <w:bCs/>
          <w:color w:val="000000"/>
          <w:sz w:val="22"/>
          <w:szCs w:val="22"/>
        </w:rPr>
        <w:t xml:space="preserve">U svakom slučaju, </w:t>
      </w:r>
      <w:r>
        <w:rPr>
          <w:rFonts w:eastAsia="NSimSun" w:cs="Times New Roman" w:ascii="Times New Roman" w:hAnsi="Times New Roman"/>
          <w:bCs/>
          <w:color w:val="000000"/>
          <w:kern w:val="2"/>
          <w:sz w:val="22"/>
          <w:szCs w:val="22"/>
          <w:lang w:val="hr-HR" w:eastAsia="en-US" w:bidi="hi-IN"/>
        </w:rPr>
        <w:t xml:space="preserve">povrh navedenoga, opreza radi </w:t>
      </w:r>
      <w:r>
        <w:rPr>
          <w:rFonts w:cs="Times New Roman" w:ascii="Times New Roman" w:hAnsi="Times New Roman"/>
          <w:bCs/>
          <w:color w:val="000000"/>
          <w:sz w:val="22"/>
          <w:szCs w:val="22"/>
        </w:rPr>
        <w:t>osporava se i obračunata zakonska zatezna kamata obračunata za razdoblje 18.04.2020-18.10.2020. u iznosu od 9.786,15 kn uslijed zastoja tijeka zateznih kamata za trajanja posebnih okolnosti (COVID-19).</w:t>
      </w:r>
    </w:p>
    <w:p>
      <w:pPr>
        <w:pStyle w:val="Normal"/>
        <w:jc w:val="left"/>
        <w:rPr>
          <w:rFonts w:ascii="Times New Roman" w:hAnsi="Times New Roman" w:cs="Times New Roman"/>
          <w:bCs/>
          <w:color w:val="000000"/>
          <w:sz w:val="22"/>
          <w:szCs w:val="22"/>
        </w:rPr>
      </w:pPr>
      <w:r>
        <w:rPr>
          <w:rFonts w:cs="Times New Roman" w:ascii="Times New Roman" w:hAnsi="Times New Roman"/>
          <w:bCs/>
          <w:color w:val="000000"/>
          <w:sz w:val="22"/>
          <w:szCs w:val="22"/>
        </w:rPr>
      </w:r>
    </w:p>
    <w:p>
      <w:pPr>
        <w:pStyle w:val="Normal"/>
        <w:jc w:val="left"/>
        <w:rPr>
          <w:rFonts w:ascii="Times New Roman" w:hAnsi="Times New Roman" w:cs="Times New Roman"/>
          <w:bCs/>
          <w:color w:val="C9211E"/>
          <w:sz w:val="20"/>
          <w:szCs w:val="20"/>
        </w:rPr>
      </w:pPr>
      <w:r>
        <w:rPr>
          <w:rFonts w:cs="Times New Roman" w:ascii="Times New Roman" w:hAnsi="Times New Roman"/>
          <w:bCs/>
          <w:color w:val="C9211E"/>
          <w:sz w:val="20"/>
          <w:szCs w:val="20"/>
        </w:rPr>
      </w:r>
    </w:p>
    <w:p>
      <w:pPr>
        <w:pStyle w:val="Normal"/>
        <w:jc w:val="center"/>
        <w:rPr>
          <w:rFonts w:ascii="Times New Roman" w:hAnsi="Times New Roman" w:cs="Times New Roman"/>
          <w:bCs/>
          <w:color w:val="C9211E"/>
          <w:sz w:val="20"/>
          <w:szCs w:val="20"/>
        </w:rPr>
      </w:pPr>
      <w:r>
        <w:rPr>
          <w:rFonts w:cs="Times New Roman" w:ascii="Times New Roman" w:hAnsi="Times New Roman"/>
          <w:bCs/>
          <w:color w:val="C9211E"/>
          <w:sz w:val="20"/>
          <w:szCs w:val="20"/>
        </w:rPr>
      </w:r>
    </w:p>
    <w:p>
      <w:pPr>
        <w:pStyle w:val="Normal"/>
        <w:jc w:val="center"/>
        <w:rPr>
          <w:rFonts w:ascii="Times New Roman" w:hAnsi="Times New Roman" w:cs="Times New Roman"/>
          <w:bCs/>
          <w:color w:val="C9211E"/>
          <w:sz w:val="20"/>
          <w:szCs w:val="20"/>
        </w:rPr>
      </w:pPr>
      <w:r>
        <w:rPr>
          <w:rFonts w:cs="Times New Roman" w:ascii="Times New Roman" w:hAnsi="Times New Roman"/>
          <w:bCs/>
          <w:color w:val="C9211E"/>
          <w:sz w:val="20"/>
          <w:szCs w:val="20"/>
        </w:rPr>
      </w:r>
    </w:p>
    <w:p>
      <w:pPr>
        <w:pStyle w:val="Normal"/>
        <w:jc w:val="left"/>
        <w:rPr>
          <w:rFonts w:ascii="Times New Roman" w:hAnsi="Times New Roman" w:cs="Times New Roman"/>
          <w:bCs/>
          <w:color w:val="C9211E"/>
          <w:sz w:val="20"/>
          <w:szCs w:val="20"/>
        </w:rPr>
      </w:pPr>
      <w:r>
        <w:rPr>
          <w:rFonts w:cs="Times New Roman" w:ascii="Times New Roman" w:hAnsi="Times New Roman"/>
          <w:bCs/>
          <w:color w:val="C9211E"/>
          <w:sz w:val="20"/>
          <w:szCs w:val="20"/>
        </w:rPr>
      </w:r>
    </w:p>
    <w:p>
      <w:pPr>
        <w:pStyle w:val="Normal"/>
        <w:widowControl/>
        <w:overflowPunct w:val="false"/>
        <w:bidi w:val="0"/>
        <w:spacing w:before="0" w:after="80"/>
        <w:jc w:val="right"/>
        <w:rPr/>
      </w:pPr>
      <w:r>
        <w:rPr>
          <w:rFonts w:cs="Times New Roman" w:ascii="Times New Roman" w:hAnsi="Times New Roman"/>
          <w:sz w:val="24"/>
          <w:szCs w:val="24"/>
        </w:rPr>
        <w:tab/>
        <w:tab/>
        <w:tab/>
        <w:tab/>
        <w:tab/>
        <w:t xml:space="preserve">                   </w:t>
        <w:tab/>
        <w:t xml:space="preserve">                                                          Stečajni upravitelj</w:t>
      </w:r>
    </w:p>
    <w:p>
      <w:pPr>
        <w:pStyle w:val="Normal"/>
        <w:widowControl/>
        <w:overflowPunct w:val="false"/>
        <w:bidi w:val="0"/>
        <w:spacing w:before="0" w:after="80"/>
        <w:jc w:val="right"/>
        <w:rPr/>
      </w:pPr>
      <w:bookmarkStart w:id="0" w:name="__DdeLink__2741_1331785836"/>
      <w:r>
        <w:rPr>
          <w:rFonts w:cs="Times New Roman" w:ascii="Times New Roman" w:hAnsi="Times New Roman"/>
          <w:sz w:val="24"/>
          <w:szCs w:val="24"/>
        </w:rPr>
        <w:t xml:space="preserve">Martina Grgec             </w:t>
      </w:r>
      <w:bookmarkEnd w:id="0"/>
    </w:p>
    <w:sectPr>
      <w:type w:val="nextPage"/>
      <w:pgSz w:orient="landscape" w:w="16838" w:h="11906"/>
      <w:pgMar w:left="1134" w:right="1134" w:header="0" w:top="1191" w:footer="0" w:bottom="90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ucida Grande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upperRoman"/>
      <w:lvlText w:val="%1."/>
      <w:lvlJc w:val="left"/>
      <w:pPr>
        <w:ind w:left="785" w:hanging="720"/>
      </w:pPr>
      <w:rPr>
        <w:sz w:val="24"/>
        <w:b/>
        <w:rFonts w:cs="Times New Roman"/>
      </w:rPr>
    </w:lvl>
    <w:lvl w:ilvl="1">
      <w:start w:val="1"/>
      <w:numFmt w:val="lowerLetter"/>
      <w:lvlText w:val="%2."/>
      <w:lvlJc w:val="left"/>
      <w:pPr>
        <w:ind w:left="114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6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8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30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02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74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6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85" w:hanging="180"/>
      </w:pPr>
      <w:rPr>
        <w:rFonts w:cs="Times New Roman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embedSystemFonts/>
  <w:defaultTabStop w:val="709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hr-H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Cs w:val="24"/>
        <w:lang w:val="hr-HR" w:eastAsia="zh-CN" w:bidi="hi-I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annotation text" w:unhideWhenUsed="0"/>
    <w:lsdException w:name="caption" w:uiPriority="35" w:qFormat="1"/>
    <w:lsdException w:name="footnote reference" w:unhideWhenUsed="0"/>
    <w:lsdException w:name="annotation reference" w:unhideWhenUsed="0"/>
    <w:lsdException w:name="Title" w:uiPriority="10" w:semiHidden="0" w:unhideWhenUsed="0" w:qFormat="1"/>
    <w:lsdException w:name="Default Paragraph Font" w:unhideWhenUsed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annotation subject" w:unhideWhenUsed="0"/>
    <w:lsdException w:name="Balloon Text" w:unhideWhenUsed="0"/>
    <w:lsdException w:name="Table Grid" w:uiPriority="0"/>
    <w:lsdException w:name="Placeholder Text" w:unhideWhenUsed="0"/>
    <w:lsdException w:name="No Spacing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b234df"/>
    <w:pPr>
      <w:widowControl/>
      <w:overflowPunct w:val="false"/>
      <w:bidi w:val="0"/>
      <w:spacing w:before="0" w:after="80"/>
      <w:jc w:val="left"/>
    </w:pPr>
    <w:rPr>
      <w:rFonts w:ascii="Liberation Serif" w:hAnsi="Liberation Serif" w:eastAsia="NSimSun" w:cs="Calibri"/>
      <w:color w:val="auto"/>
      <w:kern w:val="2"/>
      <w:sz w:val="22"/>
      <w:szCs w:val="22"/>
      <w:lang w:val="hr-HR" w:eastAsia="en-US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otnoteTextChar" w:customStyle="1">
    <w:name w:val="Footnote Text Char"/>
    <w:link w:val="FootnoteText"/>
    <w:uiPriority w:val="99"/>
    <w:qFormat/>
    <w:rPr>
      <w:rFonts w:ascii="Calibri" w:hAnsi="Calibri" w:eastAsia="Times New Roman" w:cs="Calibri"/>
      <w:sz w:val="20"/>
      <w:szCs w:val="20"/>
      <w:lang w:eastAsia="en-US"/>
    </w:rPr>
  </w:style>
  <w:style w:type="character" w:styleId="FootnoteCharacters">
    <w:name w:val="Footnote Characters"/>
    <w:uiPriority w:val="99"/>
    <w:qFormat/>
    <w:rPr>
      <w:vertAlign w:val="superscript"/>
    </w:rPr>
  </w:style>
  <w:style w:type="character" w:styleId="FootnoteAnchor">
    <w:name w:val="Footnote Anchor"/>
    <w:qFormat/>
    <w:rPr>
      <w:vertAlign w:val="superscript"/>
    </w:rPr>
  </w:style>
  <w:style w:type="character" w:styleId="Annotationreference">
    <w:name w:val="annotation reference"/>
    <w:uiPriority w:val="99"/>
    <w:qFormat/>
    <w:rPr>
      <w:rFonts w:ascii="Times New Roman" w:hAnsi="Times New Roman" w:cs="Times New Roman"/>
      <w:sz w:val="18"/>
      <w:szCs w:val="18"/>
    </w:rPr>
  </w:style>
  <w:style w:type="character" w:styleId="CommentTextChar" w:customStyle="1">
    <w:name w:val="Comment Text Char"/>
    <w:link w:val="CommentText"/>
    <w:uiPriority w:val="99"/>
    <w:qFormat/>
    <w:rPr>
      <w:rFonts w:ascii="Calibri" w:hAnsi="Calibri" w:eastAsia="Times New Roman" w:cs="Calibri"/>
      <w:sz w:val="24"/>
      <w:szCs w:val="24"/>
      <w:lang w:eastAsia="en-US"/>
    </w:rPr>
  </w:style>
  <w:style w:type="character" w:styleId="CommentSubjectChar" w:customStyle="1">
    <w:name w:val="Comment Subject Char"/>
    <w:link w:val="CommentSubject"/>
    <w:uiPriority w:val="99"/>
    <w:qFormat/>
    <w:rPr>
      <w:rFonts w:ascii="Calibri" w:hAnsi="Calibri" w:eastAsia="Times New Roman" w:cs="Calibri"/>
      <w:b/>
      <w:bCs/>
      <w:sz w:val="20"/>
      <w:szCs w:val="20"/>
      <w:lang w:eastAsia="en-US"/>
    </w:rPr>
  </w:style>
  <w:style w:type="character" w:styleId="BalloonTextChar" w:customStyle="1">
    <w:name w:val="Balloon Text Char"/>
    <w:link w:val="BalloonText"/>
    <w:uiPriority w:val="99"/>
    <w:qFormat/>
    <w:rPr>
      <w:rFonts w:ascii="Lucida Grande" w:hAnsi="Lucida Grande" w:eastAsia="Times New Roman" w:cs="Lucida Grande"/>
      <w:sz w:val="18"/>
      <w:szCs w:val="18"/>
      <w:lang w:eastAsia="en-US"/>
    </w:rPr>
  </w:style>
  <w:style w:type="paragraph" w:styleId="Stilnaslova">
    <w:name w:val="Stil naslova"/>
    <w:basedOn w:val="Normal"/>
    <w:next w:val="Tijeloteksta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ijeloteksta">
    <w:name w:val="Body Text"/>
    <w:basedOn w:val="Normal"/>
    <w:pPr>
      <w:spacing w:lineRule="auto" w:line="276" w:before="0" w:after="140"/>
    </w:pPr>
    <w:rPr/>
  </w:style>
  <w:style w:type="paragraph" w:styleId="Popis">
    <w:name w:val="List"/>
    <w:basedOn w:val="Tijeloteksta"/>
    <w:pPr/>
    <w:rPr>
      <w:rFonts w:cs="Lucida Sans"/>
    </w:rPr>
  </w:style>
  <w:style w:type="paragraph" w:styleId="Opiselement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oSpacing">
    <w:name w:val="No Spacing"/>
    <w:uiPriority w:val="99"/>
    <w:qFormat/>
    <w:pPr>
      <w:widowControl/>
      <w:overflowPunct w:val="false"/>
      <w:bidi w:val="0"/>
      <w:spacing w:before="0" w:after="80"/>
      <w:jc w:val="left"/>
    </w:pPr>
    <w:rPr>
      <w:rFonts w:ascii="Liberation Serif" w:hAnsi="Liberation Serif" w:eastAsia="NSimSun" w:cs="Calibri"/>
      <w:color w:val="auto"/>
      <w:kern w:val="2"/>
      <w:sz w:val="22"/>
      <w:szCs w:val="22"/>
      <w:lang w:val="hr-HR" w:eastAsia="en-US" w:bidi="hi-IN"/>
    </w:rPr>
  </w:style>
  <w:style w:type="paragraph" w:styleId="Fusnota">
    <w:name w:val="Footnote Text"/>
    <w:basedOn w:val="Normal"/>
    <w:link w:val="FootnoteTextChar"/>
    <w:uiPriority w:val="99"/>
    <w:pPr/>
    <w:rPr>
      <w:sz w:val="20"/>
      <w:szCs w:val="20"/>
    </w:rPr>
  </w:style>
  <w:style w:type="paragraph" w:styleId="Annotationtext">
    <w:name w:val="annotation text"/>
    <w:basedOn w:val="Normal"/>
    <w:link w:val="CommentTextChar"/>
    <w:uiPriority w:val="99"/>
    <w:qFormat/>
    <w:pPr/>
    <w:rPr>
      <w:sz w:val="24"/>
      <w:szCs w:val="24"/>
    </w:rPr>
  </w:style>
  <w:style w:type="paragraph" w:styleId="Annotationsubject">
    <w:name w:val="annotation subject"/>
    <w:basedOn w:val="Annotationtext"/>
    <w:next w:val="Annotationtext"/>
    <w:link w:val="CommentSubjectChar"/>
    <w:uiPriority w:val="99"/>
    <w:qFormat/>
    <w:pPr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qFormat/>
    <w:pPr>
      <w:spacing w:before="0" w:after="0"/>
    </w:pPr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054797"/>
    <w:pPr>
      <w:spacing w:before="0" w:after="80"/>
      <w:ind w:left="720" w:hanging="0"/>
      <w:contextualSpacing/>
    </w:pPr>
    <w:rPr/>
  </w:style>
  <w:style w:type="paragraph" w:styleId="Sadrajitablice">
    <w:name w:val="Sadržaji tablice"/>
    <w:basedOn w:val="Normal"/>
    <w:qFormat/>
    <w:pPr>
      <w:suppressLineNumbers/>
    </w:pPr>
    <w:rPr/>
  </w:style>
  <w:style w:type="paragraph" w:styleId="Naslovtablice">
    <w:name w:val="Naslov tablice"/>
    <w:basedOn w:val="Sadrajitablice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rsid w:val="00274cea"/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D06A6E-A8F5-4D1B-9BAB-A81FE32DF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Application>LibreOffice/6.3.5.2$Windows_X86_64 LibreOffice_project/dd0751754f11728f69b42ee2af66670068624673</Application>
  <Pages>5</Pages>
  <Words>1101</Words>
  <Characters>6532</Characters>
  <CharactersWithSpaces>7668</CharactersWithSpaces>
  <Paragraphs>167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2018-11-20T15:43:00Z</dcterms:created>
  <dc:creator/>
  <dc:description/>
  <dc:language>hr-HR</dc:language>
  <cp:lastModifiedBy/>
  <cp:lastPrinted>2021-02-28T01:34:33Z</cp:lastPrinted>
  <dcterms:modified xsi:type="dcterms:W3CDTF">2021-03-01T19:41:13Z</dcterms:modified>
  <cp:revision>34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